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D7" w:rsidRDefault="00ED6743" w:rsidP="007314DF">
      <w:pPr>
        <w:shd w:val="clear" w:color="auto" w:fill="FF0000"/>
        <w:jc w:val="center"/>
        <w:rPr>
          <w:sz w:val="70"/>
          <w:szCs w:val="70"/>
        </w:rPr>
      </w:pPr>
      <w:r>
        <w:rPr>
          <w:sz w:val="70"/>
          <w:szCs w:val="70"/>
          <w:highlight w:val="red"/>
        </w:rPr>
        <w:t>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3753"/>
      </w:tblGrid>
      <w:tr w:rsidR="002D791D" w:rsidTr="007314DF">
        <w:tc>
          <w:tcPr>
            <w:tcW w:w="15614" w:type="dxa"/>
            <w:gridSpan w:val="2"/>
            <w:shd w:val="clear" w:color="auto" w:fill="FF0000"/>
          </w:tcPr>
          <w:p w:rsidR="002D791D" w:rsidRPr="002F7EA1" w:rsidRDefault="00ED6743" w:rsidP="002D79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UKS</w:t>
            </w:r>
            <w:r w:rsidR="007314DF">
              <w:rPr>
                <w:b/>
                <w:sz w:val="24"/>
                <w:szCs w:val="24"/>
              </w:rPr>
              <w:t xml:space="preserve">2 </w:t>
            </w:r>
            <w:r w:rsidR="002D791D" w:rsidRPr="002F7EA1">
              <w:rPr>
                <w:b/>
                <w:sz w:val="24"/>
                <w:szCs w:val="24"/>
              </w:rPr>
              <w:t>Knowledge</w:t>
            </w:r>
            <w:r w:rsidR="007314DF">
              <w:rPr>
                <w:b/>
                <w:sz w:val="24"/>
                <w:szCs w:val="24"/>
              </w:rPr>
              <w:t xml:space="preserve"> Cycle A</w:t>
            </w:r>
          </w:p>
        </w:tc>
      </w:tr>
      <w:tr w:rsidR="007314DF" w:rsidTr="00ED6743">
        <w:tc>
          <w:tcPr>
            <w:tcW w:w="1861" w:type="dxa"/>
            <w:shd w:val="clear" w:color="auto" w:fill="00B0F0"/>
          </w:tcPr>
          <w:p w:rsidR="007314DF" w:rsidRPr="002F7EA1" w:rsidRDefault="007314DF" w:rsidP="002D791D">
            <w:pPr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753" w:type="dxa"/>
            <w:shd w:val="clear" w:color="auto" w:fill="00B0F0"/>
          </w:tcPr>
          <w:p w:rsidR="007314DF" w:rsidRPr="002F7EA1" w:rsidRDefault="007314DF" w:rsidP="007314DF">
            <w:pPr>
              <w:rPr>
                <w:b/>
                <w:sz w:val="24"/>
                <w:szCs w:val="24"/>
              </w:rPr>
            </w:pPr>
          </w:p>
        </w:tc>
      </w:tr>
      <w:tr w:rsidR="007314DF" w:rsidTr="007314DF">
        <w:tc>
          <w:tcPr>
            <w:tcW w:w="1861" w:type="dxa"/>
          </w:tcPr>
          <w:p w:rsidR="007314DF" w:rsidRPr="00ED6743" w:rsidRDefault="00ED6743" w:rsidP="003A7D5B">
            <w:pPr>
              <w:rPr>
                <w:b/>
                <w:sz w:val="20"/>
                <w:szCs w:val="20"/>
              </w:rPr>
            </w:pPr>
            <w:r w:rsidRPr="00ED6743">
              <w:rPr>
                <w:b/>
                <w:sz w:val="20"/>
                <w:szCs w:val="20"/>
              </w:rPr>
              <w:t>Food and Drink</w:t>
            </w:r>
          </w:p>
          <w:p w:rsidR="00ED6743" w:rsidRPr="00ED6743" w:rsidRDefault="00ED6743" w:rsidP="003A7D5B">
            <w:pPr>
              <w:rPr>
                <w:b/>
                <w:sz w:val="20"/>
                <w:szCs w:val="20"/>
              </w:rPr>
            </w:pPr>
          </w:p>
        </w:tc>
        <w:tc>
          <w:tcPr>
            <w:tcW w:w="13753" w:type="dxa"/>
          </w:tcPr>
          <w:p w:rsidR="00ED6743" w:rsidRPr="00ED6743" w:rsidRDefault="00ED6743" w:rsidP="00ED6743">
            <w:pPr>
              <w:rPr>
                <w:sz w:val="20"/>
                <w:szCs w:val="20"/>
              </w:rPr>
            </w:pPr>
            <w:r w:rsidRPr="00ED6743">
              <w:rPr>
                <w:b/>
                <w:sz w:val="20"/>
                <w:szCs w:val="20"/>
              </w:rPr>
              <w:t>Food and Drink</w:t>
            </w:r>
          </w:p>
          <w:p w:rsidR="00ED6743" w:rsidRPr="00ED6743" w:rsidRDefault="00ED6743" w:rsidP="00ED6743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6743">
              <w:rPr>
                <w:sz w:val="20"/>
                <w:szCs w:val="20"/>
              </w:rPr>
              <w:t>I can name a variety of foods I would find in a café.</w:t>
            </w:r>
          </w:p>
          <w:p w:rsidR="00ED6743" w:rsidRPr="00ED6743" w:rsidRDefault="00ED6743" w:rsidP="00ED6743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6743">
              <w:rPr>
                <w:sz w:val="20"/>
                <w:szCs w:val="20"/>
              </w:rPr>
              <w:t>I can ask basic questions used in a café and respond appropriately.</w:t>
            </w:r>
          </w:p>
          <w:p w:rsidR="007314DF" w:rsidRPr="00CC6F3D" w:rsidRDefault="00ED6743" w:rsidP="00CC6F3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6743">
              <w:rPr>
                <w:sz w:val="20"/>
                <w:szCs w:val="20"/>
              </w:rPr>
              <w:t>I can take part in a brief conversation and order food or drinks.</w:t>
            </w:r>
          </w:p>
        </w:tc>
      </w:tr>
      <w:tr w:rsidR="007314DF" w:rsidTr="007314DF">
        <w:tc>
          <w:tcPr>
            <w:tcW w:w="1861" w:type="dxa"/>
          </w:tcPr>
          <w:p w:rsidR="007314DF" w:rsidRDefault="00ED6743" w:rsidP="00C85857">
            <w:pPr>
              <w:rPr>
                <w:b/>
                <w:sz w:val="20"/>
                <w:szCs w:val="20"/>
              </w:rPr>
            </w:pPr>
            <w:r w:rsidRPr="00ED6743">
              <w:rPr>
                <w:b/>
                <w:sz w:val="20"/>
                <w:szCs w:val="20"/>
              </w:rPr>
              <w:t>Numbers and Counting</w:t>
            </w:r>
          </w:p>
          <w:p w:rsidR="00CC6F3D" w:rsidRDefault="00CC6F3D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Dictionary Skills</w:t>
            </w:r>
          </w:p>
          <w:p w:rsidR="00CC6F3D" w:rsidRPr="00ED6743" w:rsidRDefault="00CC6F3D" w:rsidP="00C8585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Food and Drink</w:t>
            </w:r>
          </w:p>
        </w:tc>
        <w:tc>
          <w:tcPr>
            <w:tcW w:w="13753" w:type="dxa"/>
          </w:tcPr>
          <w:p w:rsidR="00ED6743" w:rsidRPr="00ED6743" w:rsidRDefault="00ED6743" w:rsidP="00ED6743">
            <w:pPr>
              <w:rPr>
                <w:b/>
                <w:sz w:val="20"/>
                <w:szCs w:val="20"/>
              </w:rPr>
            </w:pPr>
            <w:r w:rsidRPr="00ED6743">
              <w:rPr>
                <w:b/>
                <w:sz w:val="20"/>
                <w:szCs w:val="20"/>
              </w:rPr>
              <w:t>Numbers and Counting</w:t>
            </w:r>
          </w:p>
          <w:p w:rsidR="00ED6743" w:rsidRPr="00ED6743" w:rsidRDefault="00ED6743" w:rsidP="00ED674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D6743">
              <w:rPr>
                <w:sz w:val="20"/>
                <w:szCs w:val="20"/>
              </w:rPr>
              <w:t>I can count in French and know my five times table up to 60</w:t>
            </w:r>
          </w:p>
          <w:p w:rsidR="00CC6F3D" w:rsidRPr="00CC6F3D" w:rsidRDefault="00CC6F3D" w:rsidP="00CC6F3D">
            <w:pPr>
              <w:rPr>
                <w:b/>
                <w:sz w:val="20"/>
                <w:szCs w:val="20"/>
              </w:rPr>
            </w:pPr>
            <w:r w:rsidRPr="00CC6F3D">
              <w:rPr>
                <w:b/>
                <w:sz w:val="20"/>
                <w:szCs w:val="20"/>
              </w:rPr>
              <w:t>Dictionary Skills</w:t>
            </w:r>
          </w:p>
          <w:p w:rsidR="00CC6F3D" w:rsidRPr="00CC6F3D" w:rsidRDefault="00CC6F3D" w:rsidP="00CC6F3D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CC6F3D">
              <w:rPr>
                <w:sz w:val="20"/>
                <w:szCs w:val="20"/>
              </w:rPr>
              <w:t>I can use a dictionary to find the equivalent word in each language.</w:t>
            </w:r>
          </w:p>
          <w:p w:rsidR="00CC6F3D" w:rsidRPr="00CC6F3D" w:rsidRDefault="00CC6F3D" w:rsidP="00CC6F3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C6F3D">
              <w:rPr>
                <w:sz w:val="20"/>
                <w:szCs w:val="20"/>
              </w:rPr>
              <w:t>I can use the correct masculine or feminine adjective to describe a noun.</w:t>
            </w:r>
          </w:p>
          <w:p w:rsidR="00CC6F3D" w:rsidRPr="00CC6F3D" w:rsidRDefault="00CC6F3D" w:rsidP="00CC6F3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C6F3D">
              <w:rPr>
                <w:sz w:val="20"/>
                <w:szCs w:val="20"/>
              </w:rPr>
              <w:t>I am beginning to recognise cognates in English and French.</w:t>
            </w:r>
          </w:p>
          <w:p w:rsidR="00CC6F3D" w:rsidRPr="00CC6F3D" w:rsidRDefault="00CC6F3D" w:rsidP="00CC6F3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C6F3D">
              <w:rPr>
                <w:sz w:val="20"/>
                <w:szCs w:val="20"/>
              </w:rPr>
              <w:t>I am beginning to read French text and understand the by recognising familiar language.</w:t>
            </w:r>
          </w:p>
          <w:p w:rsidR="00CC6F3D" w:rsidRPr="00CC6F3D" w:rsidRDefault="00CC6F3D" w:rsidP="00CC6F3D">
            <w:pPr>
              <w:rPr>
                <w:b/>
                <w:sz w:val="20"/>
                <w:szCs w:val="20"/>
              </w:rPr>
            </w:pPr>
            <w:r w:rsidRPr="00CC6F3D">
              <w:rPr>
                <w:b/>
                <w:sz w:val="20"/>
                <w:szCs w:val="20"/>
              </w:rPr>
              <w:t>Food and Drink</w:t>
            </w:r>
          </w:p>
          <w:p w:rsidR="00CC6F3D" w:rsidRPr="00CC6F3D" w:rsidRDefault="00CC6F3D" w:rsidP="00CC6F3D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6F3D">
              <w:rPr>
                <w:sz w:val="20"/>
                <w:szCs w:val="20"/>
              </w:rPr>
              <w:t>I can say what food is sold in which French food shop.</w:t>
            </w:r>
          </w:p>
          <w:p w:rsidR="007314DF" w:rsidRPr="00CC6F3D" w:rsidRDefault="00CC6F3D" w:rsidP="00CC6F3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C6F3D">
              <w:rPr>
                <w:sz w:val="20"/>
                <w:szCs w:val="20"/>
              </w:rPr>
              <w:t>I can write a simple love poem in French.</w:t>
            </w:r>
          </w:p>
        </w:tc>
      </w:tr>
      <w:tr w:rsidR="00CC6F3D" w:rsidTr="007314DF">
        <w:tc>
          <w:tcPr>
            <w:tcW w:w="1861" w:type="dxa"/>
          </w:tcPr>
          <w:p w:rsidR="00CC6F3D" w:rsidRPr="00ED6743" w:rsidRDefault="00CC6F3D" w:rsidP="00CC6F3D">
            <w:pPr>
              <w:rPr>
                <w:b/>
                <w:bCs/>
                <w:sz w:val="20"/>
                <w:szCs w:val="20"/>
              </w:rPr>
            </w:pPr>
            <w:r w:rsidRPr="00ED6743">
              <w:rPr>
                <w:b/>
                <w:bCs/>
                <w:sz w:val="20"/>
                <w:szCs w:val="20"/>
              </w:rPr>
              <w:t>Transport</w:t>
            </w:r>
          </w:p>
        </w:tc>
        <w:tc>
          <w:tcPr>
            <w:tcW w:w="13753" w:type="dxa"/>
          </w:tcPr>
          <w:p w:rsidR="00CC6F3D" w:rsidRPr="00ED6743" w:rsidRDefault="00CC6F3D" w:rsidP="00CC6F3D">
            <w:pPr>
              <w:rPr>
                <w:b/>
                <w:bCs/>
                <w:sz w:val="20"/>
                <w:szCs w:val="20"/>
              </w:rPr>
            </w:pPr>
            <w:r w:rsidRPr="00ED6743">
              <w:rPr>
                <w:b/>
                <w:bCs/>
                <w:sz w:val="20"/>
                <w:szCs w:val="20"/>
              </w:rPr>
              <w:t>Transport</w:t>
            </w:r>
          </w:p>
          <w:p w:rsidR="001D5FE5" w:rsidRPr="001D5FE5" w:rsidRDefault="001D5FE5" w:rsidP="001D5FE5">
            <w:pPr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1D5FE5">
              <w:rPr>
                <w:bCs/>
                <w:sz w:val="20"/>
                <w:szCs w:val="20"/>
              </w:rPr>
              <w:t>I can name a variety of modes of transport.</w:t>
            </w:r>
          </w:p>
          <w:p w:rsidR="001D5FE5" w:rsidRPr="001D5FE5" w:rsidRDefault="001D5FE5" w:rsidP="001D5FE5">
            <w:pPr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1D5FE5">
              <w:rPr>
                <w:bCs/>
                <w:sz w:val="20"/>
                <w:szCs w:val="20"/>
              </w:rPr>
              <w:t xml:space="preserve">I can use familiar words (e.g. nouns and adjectives) to describe and write short sentences. </w:t>
            </w:r>
          </w:p>
          <w:p w:rsidR="001D5FE5" w:rsidRPr="001D5FE5" w:rsidRDefault="001D5FE5" w:rsidP="001D5FE5">
            <w:pPr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1D5FE5">
              <w:rPr>
                <w:bCs/>
                <w:sz w:val="20"/>
                <w:szCs w:val="20"/>
              </w:rPr>
              <w:t>I can express an opinion.</w:t>
            </w:r>
          </w:p>
          <w:p w:rsidR="001D5FE5" w:rsidRPr="001D5FE5" w:rsidRDefault="001D5FE5" w:rsidP="001D5FE5">
            <w:pPr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1D5FE5">
              <w:rPr>
                <w:bCs/>
                <w:sz w:val="20"/>
                <w:szCs w:val="20"/>
              </w:rPr>
              <w:t>I can use detail to explain what I think or mean using longer sentences.</w:t>
            </w:r>
          </w:p>
          <w:p w:rsidR="00CC6F3D" w:rsidRPr="00ED6743" w:rsidRDefault="001D5FE5" w:rsidP="001D5FE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D5FE5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I can talk about various countries (many are cognates) and understand the simple rule regarding talking about in/to different countries (au/</w:t>
            </w:r>
            <w:proofErr w:type="spellStart"/>
            <w:r w:rsidRPr="001D5FE5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en</w:t>
            </w:r>
            <w:proofErr w:type="spellEnd"/>
            <w:r w:rsidRPr="001D5FE5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/aux=m/f/pl)</w:t>
            </w:r>
            <w:bookmarkStart w:id="0" w:name="_GoBack"/>
            <w:bookmarkEnd w:id="0"/>
          </w:p>
        </w:tc>
      </w:tr>
      <w:tr w:rsidR="00CC6F3D" w:rsidTr="0040611A">
        <w:tc>
          <w:tcPr>
            <w:tcW w:w="15614" w:type="dxa"/>
            <w:gridSpan w:val="2"/>
            <w:shd w:val="clear" w:color="auto" w:fill="FFFFFF" w:themeFill="background1"/>
          </w:tcPr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C6F3D" w:rsidRPr="00C85857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C6F3D" w:rsidTr="00ED6743">
        <w:tc>
          <w:tcPr>
            <w:tcW w:w="15614" w:type="dxa"/>
            <w:gridSpan w:val="2"/>
            <w:shd w:val="clear" w:color="auto" w:fill="00B0F0"/>
          </w:tcPr>
          <w:p w:rsidR="00CC6F3D" w:rsidRPr="00C85857" w:rsidRDefault="00CC6F3D" w:rsidP="00CC6F3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585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Skills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969"/>
        <w:gridCol w:w="3827"/>
        <w:gridCol w:w="2410"/>
      </w:tblGrid>
      <w:tr w:rsidR="007314DF" w:rsidRPr="002A2DD0" w:rsidTr="007314DF">
        <w:trPr>
          <w:trHeight w:val="158"/>
        </w:trPr>
        <w:tc>
          <w:tcPr>
            <w:tcW w:w="1242" w:type="dxa"/>
          </w:tcPr>
          <w:p w:rsidR="007314DF" w:rsidRPr="002A2DD0" w:rsidRDefault="007314DF" w:rsidP="009842D1">
            <w:pPr>
              <w:spacing w:after="0" w:line="240" w:lineRule="auto"/>
              <w:jc w:val="center"/>
            </w:pPr>
            <w:r>
              <w:t>LKS2</w:t>
            </w:r>
          </w:p>
        </w:tc>
        <w:tc>
          <w:tcPr>
            <w:tcW w:w="4111" w:type="dxa"/>
          </w:tcPr>
          <w:p w:rsidR="007314DF" w:rsidRDefault="007314DF" w:rsidP="009842D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Children</w:t>
            </w:r>
            <w:r w:rsidRPr="00062E42">
              <w:rPr>
                <w:sz w:val="20"/>
              </w:rPr>
              <w:t xml:space="preserve"> can listen to and understand short sentences on familiar topics</w:t>
            </w:r>
            <w:r>
              <w:rPr>
                <w:sz w:val="20"/>
              </w:rPr>
              <w:t>, and repeat words and short phrases.</w:t>
            </w:r>
          </w:p>
          <w:p w:rsidR="007314DF" w:rsidRDefault="007314DF" w:rsidP="009842D1">
            <w:pPr>
              <w:spacing w:after="0" w:line="240" w:lineRule="auto"/>
              <w:rPr>
                <w:sz w:val="20"/>
              </w:rPr>
            </w:pP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</w:rPr>
              <w:t>Children can listen, understand and respond to questions using words and short phrases and ask a range of simple questions.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</w:rPr>
              <w:t>Children</w:t>
            </w:r>
            <w:r w:rsidRPr="0082425B">
              <w:rPr>
                <w:sz w:val="20"/>
              </w:rPr>
              <w:t xml:space="preserve"> can express </w:t>
            </w:r>
            <w:r>
              <w:rPr>
                <w:sz w:val="20"/>
              </w:rPr>
              <w:t>simple likes and dislikes, using short phrases and can understand opinions of others.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</w:rPr>
              <w:t>Children can use simple familiar structures and words (with or without support) to create their own short utterances.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 are beginning to understand that the sounds of the target language and the spellings associated with them may be different from their own and are beginning to use</w:t>
            </w:r>
            <w:r w:rsidRPr="009D6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appropriate </w:t>
            </w:r>
            <w:r w:rsidRPr="009D6E3B">
              <w:rPr>
                <w:sz w:val="20"/>
                <w:szCs w:val="20"/>
              </w:rPr>
              <w:t xml:space="preserve">intonation </w:t>
            </w:r>
            <w:r>
              <w:rPr>
                <w:sz w:val="20"/>
                <w:szCs w:val="20"/>
              </w:rPr>
              <w:t>when speaking (e.g. when asking questions).</w:t>
            </w:r>
          </w:p>
          <w:p w:rsidR="007314DF" w:rsidRDefault="007314DF" w:rsidP="009842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Pr="001416F2">
              <w:rPr>
                <w:sz w:val="20"/>
                <w:szCs w:val="20"/>
              </w:rPr>
              <w:t xml:space="preserve"> can use simple phrases to give information</w:t>
            </w:r>
            <w:r>
              <w:rPr>
                <w:sz w:val="20"/>
                <w:szCs w:val="20"/>
              </w:rPr>
              <w:t>, either independently or in unison.</w:t>
            </w:r>
          </w:p>
          <w:p w:rsidR="007314DF" w:rsidRDefault="007314DF" w:rsidP="009842D1">
            <w:pPr>
              <w:spacing w:after="0" w:line="240" w:lineRule="auto"/>
              <w:rPr>
                <w:sz w:val="20"/>
                <w:szCs w:val="20"/>
              </w:rPr>
            </w:pPr>
          </w:p>
          <w:p w:rsidR="007314DF" w:rsidRPr="002A2DD0" w:rsidRDefault="007314DF" w:rsidP="009842D1">
            <w:pPr>
              <w:spacing w:after="0" w:line="240" w:lineRule="auto"/>
            </w:pPr>
            <w:r>
              <w:rPr>
                <w:sz w:val="20"/>
                <w:szCs w:val="20"/>
              </w:rPr>
              <w:t>Children</w:t>
            </w:r>
            <w:r w:rsidRPr="003B075E">
              <w:rPr>
                <w:sz w:val="20"/>
                <w:szCs w:val="20"/>
              </w:rPr>
              <w:t xml:space="preserve"> can use simple words </w:t>
            </w:r>
            <w:r>
              <w:rPr>
                <w:sz w:val="20"/>
                <w:szCs w:val="20"/>
              </w:rPr>
              <w:t xml:space="preserve">or </w:t>
            </w:r>
            <w:r w:rsidRPr="003B075E">
              <w:rPr>
                <w:sz w:val="20"/>
                <w:szCs w:val="20"/>
              </w:rPr>
              <w:t>phrases to</w:t>
            </w:r>
            <w:r w:rsidRPr="006568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 and describe, sometimes independently.</w:t>
            </w:r>
          </w:p>
        </w:tc>
        <w:tc>
          <w:tcPr>
            <w:tcW w:w="3969" w:type="dxa"/>
          </w:tcPr>
          <w:p w:rsidR="007314DF" w:rsidRDefault="007314DF" w:rsidP="009842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read and understand familiar phrases and can begin to decode simple sentence</w:t>
            </w:r>
            <w:r>
              <w:rPr>
                <w:sz w:val="20"/>
                <w:szCs w:val="20"/>
              </w:rPr>
              <w:t>s,</w:t>
            </w:r>
            <w:r w:rsidRPr="00745E27">
              <w:rPr>
                <w:sz w:val="20"/>
                <w:szCs w:val="20"/>
              </w:rPr>
              <w:t xml:space="preserve"> pick</w:t>
            </w:r>
            <w:r>
              <w:rPr>
                <w:sz w:val="20"/>
                <w:szCs w:val="20"/>
              </w:rPr>
              <w:t>ing</w:t>
            </w:r>
            <w:r w:rsidRPr="00745E27">
              <w:rPr>
                <w:sz w:val="20"/>
                <w:szCs w:val="20"/>
              </w:rPr>
              <w:t xml:space="preserve"> out key information in the </w:t>
            </w:r>
            <w:r>
              <w:rPr>
                <w:sz w:val="20"/>
                <w:szCs w:val="20"/>
              </w:rPr>
              <w:t>target language</w:t>
            </w:r>
            <w:r w:rsidRPr="00745E27">
              <w:rPr>
                <w:sz w:val="20"/>
                <w:szCs w:val="20"/>
              </w:rPr>
              <w:t>.</w:t>
            </w:r>
          </w:p>
          <w:p w:rsidR="007314DF" w:rsidRDefault="007314DF" w:rsidP="009842D1">
            <w:pPr>
              <w:spacing w:after="0" w:line="240" w:lineRule="auto"/>
              <w:rPr>
                <w:sz w:val="20"/>
                <w:szCs w:val="20"/>
              </w:rPr>
            </w:pP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identify some cognates in the </w:t>
            </w:r>
            <w:r>
              <w:rPr>
                <w:sz w:val="20"/>
                <w:szCs w:val="20"/>
              </w:rPr>
              <w:t>target language</w:t>
            </w:r>
            <w:r w:rsidRPr="00745E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using</w:t>
            </w:r>
            <w:r w:rsidRPr="00745E27">
              <w:rPr>
                <w:sz w:val="20"/>
                <w:szCs w:val="20"/>
              </w:rPr>
              <w:t xml:space="preserve"> simple reading strategies to help decode meaning of words and use a simple glossary or dictionary to find out meaning of unfamiliar words.  </w:t>
            </w:r>
          </w:p>
          <w:p w:rsidR="007314DF" w:rsidRDefault="007314DF" w:rsidP="009842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produce some simple </w:t>
            </w:r>
            <w:r>
              <w:rPr>
                <w:sz w:val="20"/>
                <w:szCs w:val="20"/>
              </w:rPr>
              <w:t xml:space="preserve">words and </w:t>
            </w:r>
            <w:r w:rsidRPr="00745E27">
              <w:rPr>
                <w:sz w:val="20"/>
                <w:szCs w:val="20"/>
              </w:rPr>
              <w:t>phrases from memory, sometimes with approximate but recognisable spelling</w:t>
            </w:r>
            <w:r>
              <w:rPr>
                <w:sz w:val="20"/>
                <w:szCs w:val="20"/>
              </w:rPr>
              <w:t>.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use familiar language to create short sentences with the appropriate scaffolding.</w:t>
            </w:r>
          </w:p>
          <w:p w:rsidR="007314DF" w:rsidRPr="002A2DD0" w:rsidRDefault="007314DF" w:rsidP="009842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7314DF" w:rsidRDefault="007314DF" w:rsidP="009842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join in with simple songs and rhymes copying the sounds of the target language with some accuracy and</w:t>
            </w:r>
            <w:r w:rsidRPr="00E95D5A">
              <w:rPr>
                <w:sz w:val="20"/>
                <w:szCs w:val="20"/>
              </w:rPr>
              <w:t xml:space="preserve"> are beginning to associate certain phonemes and graphemes in the </w:t>
            </w:r>
            <w:r>
              <w:rPr>
                <w:sz w:val="20"/>
                <w:szCs w:val="20"/>
              </w:rPr>
              <w:t>target language</w:t>
            </w:r>
            <w:r w:rsidRPr="00E95D5A">
              <w:rPr>
                <w:sz w:val="20"/>
                <w:szCs w:val="20"/>
              </w:rPr>
              <w:t>.</w:t>
            </w:r>
            <w:r w:rsidRPr="004D623A">
              <w:rPr>
                <w:sz w:val="20"/>
                <w:szCs w:val="20"/>
              </w:rPr>
              <w:t xml:space="preserve"> </w:t>
            </w:r>
          </w:p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</w:t>
            </w:r>
            <w:r w:rsidRPr="004D623A">
              <w:rPr>
                <w:sz w:val="20"/>
                <w:szCs w:val="20"/>
              </w:rPr>
              <w:t xml:space="preserve"> can listen</w:t>
            </w:r>
            <w:r>
              <w:rPr>
                <w:sz w:val="20"/>
                <w:szCs w:val="20"/>
              </w:rPr>
              <w:t xml:space="preserve"> carefully and understand and respond to a wide range of songs and rhymes or stories in the target language on familiar themes.</w:t>
            </w:r>
          </w:p>
          <w:p w:rsidR="007314DF" w:rsidRPr="002A2DD0" w:rsidRDefault="007314DF" w:rsidP="009842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Children</w:t>
            </w:r>
            <w:r w:rsidRPr="00745E27">
              <w:rPr>
                <w:sz w:val="20"/>
                <w:szCs w:val="20"/>
              </w:rPr>
              <w:t xml:space="preserve"> can read and understand and respond to a wider range of songs and rhymes or stories that are appropriately scaffolded in the </w:t>
            </w:r>
            <w:r>
              <w:rPr>
                <w:sz w:val="20"/>
                <w:szCs w:val="20"/>
              </w:rPr>
              <w:t>target language</w:t>
            </w:r>
            <w:r w:rsidRPr="00745E27">
              <w:rPr>
                <w:sz w:val="20"/>
                <w:szCs w:val="20"/>
              </w:rPr>
              <w:t xml:space="preserve"> on familiar themes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314DF" w:rsidRDefault="007314DF" w:rsidP="009842D1">
            <w:pPr>
              <w:spacing w:line="240" w:lineRule="auto"/>
            </w:pPr>
            <w:r>
              <w:rPr>
                <w:sz w:val="20"/>
                <w:szCs w:val="20"/>
              </w:rPr>
              <w:t>Children demonstrate an understanding that nouns and adjectives can be found in the target language as well as English but that their word order may be different.</w:t>
            </w:r>
          </w:p>
          <w:p w:rsidR="007314DF" w:rsidRPr="002A2DD0" w:rsidRDefault="007314DF" w:rsidP="009842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Children begin to understand the gender of nouns including masculine and feminine forms. They begin to produce sentences and utterances that show emerging grammatical understanding.</w:t>
            </w:r>
          </w:p>
        </w:tc>
      </w:tr>
    </w:tbl>
    <w:p w:rsidR="002D791D" w:rsidRDefault="002D791D" w:rsidP="002D791D"/>
    <w:sectPr w:rsidR="002D791D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1F" w:rsidRDefault="00F6631F" w:rsidP="00F6631F">
      <w:pPr>
        <w:spacing w:after="0" w:line="240" w:lineRule="auto"/>
      </w:pPr>
      <w:r>
        <w:separator/>
      </w:r>
    </w:p>
  </w:endnote>
  <w:endnote w:type="continuationSeparator" w:id="0">
    <w:p w:rsidR="00F6631F" w:rsidRDefault="00F6631F" w:rsidP="00F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1F" w:rsidRDefault="00F6631F" w:rsidP="00F6631F">
      <w:pPr>
        <w:spacing w:after="0" w:line="240" w:lineRule="auto"/>
      </w:pPr>
      <w:r>
        <w:separator/>
      </w:r>
    </w:p>
  </w:footnote>
  <w:footnote w:type="continuationSeparator" w:id="0">
    <w:p w:rsidR="00F6631F" w:rsidRDefault="00F6631F" w:rsidP="00F6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001"/>
    <w:multiLevelType w:val="hybridMultilevel"/>
    <w:tmpl w:val="678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528"/>
    <w:multiLevelType w:val="hybridMultilevel"/>
    <w:tmpl w:val="5F40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A83"/>
    <w:multiLevelType w:val="hybridMultilevel"/>
    <w:tmpl w:val="F8A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722B"/>
    <w:multiLevelType w:val="hybridMultilevel"/>
    <w:tmpl w:val="2AA6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4958"/>
    <w:multiLevelType w:val="hybridMultilevel"/>
    <w:tmpl w:val="57E2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6388"/>
    <w:multiLevelType w:val="hybridMultilevel"/>
    <w:tmpl w:val="5174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302"/>
    <w:multiLevelType w:val="hybridMultilevel"/>
    <w:tmpl w:val="443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611A8"/>
    <w:multiLevelType w:val="hybridMultilevel"/>
    <w:tmpl w:val="179E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01A8B"/>
    <w:multiLevelType w:val="hybridMultilevel"/>
    <w:tmpl w:val="E77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55A08"/>
    <w:multiLevelType w:val="hybridMultilevel"/>
    <w:tmpl w:val="A7EA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0D2E"/>
    <w:multiLevelType w:val="hybridMultilevel"/>
    <w:tmpl w:val="B61A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74E2C"/>
    <w:multiLevelType w:val="hybridMultilevel"/>
    <w:tmpl w:val="7AE6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C3ACF"/>
    <w:multiLevelType w:val="hybridMultilevel"/>
    <w:tmpl w:val="A35C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3B61"/>
    <w:multiLevelType w:val="hybridMultilevel"/>
    <w:tmpl w:val="549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D6FCC"/>
    <w:multiLevelType w:val="hybridMultilevel"/>
    <w:tmpl w:val="5A78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8"/>
  </w:num>
  <w:num w:numId="5">
    <w:abstractNumId w:val="4"/>
  </w:num>
  <w:num w:numId="6">
    <w:abstractNumId w:val="1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9"/>
  </w:num>
  <w:num w:numId="13">
    <w:abstractNumId w:val="0"/>
  </w:num>
  <w:num w:numId="14">
    <w:abstractNumId w:val="3"/>
  </w:num>
  <w:num w:numId="15">
    <w:abstractNumId w:val="20"/>
  </w:num>
  <w:num w:numId="16">
    <w:abstractNumId w:val="10"/>
  </w:num>
  <w:num w:numId="17">
    <w:abstractNumId w:val="22"/>
  </w:num>
  <w:num w:numId="18">
    <w:abstractNumId w:val="8"/>
  </w:num>
  <w:num w:numId="19">
    <w:abstractNumId w:val="15"/>
  </w:num>
  <w:num w:numId="20">
    <w:abstractNumId w:val="2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91D"/>
    <w:rsid w:val="000348F6"/>
    <w:rsid w:val="00097067"/>
    <w:rsid w:val="000A1F99"/>
    <w:rsid w:val="001961F9"/>
    <w:rsid w:val="001D5FE5"/>
    <w:rsid w:val="002D791D"/>
    <w:rsid w:val="002F7EA1"/>
    <w:rsid w:val="003005E6"/>
    <w:rsid w:val="003A7D5B"/>
    <w:rsid w:val="0040611A"/>
    <w:rsid w:val="00494D4B"/>
    <w:rsid w:val="004E2152"/>
    <w:rsid w:val="005B4E9E"/>
    <w:rsid w:val="00690721"/>
    <w:rsid w:val="007179BB"/>
    <w:rsid w:val="007314DF"/>
    <w:rsid w:val="00775A75"/>
    <w:rsid w:val="00837DCC"/>
    <w:rsid w:val="008553D7"/>
    <w:rsid w:val="00860D27"/>
    <w:rsid w:val="008779E8"/>
    <w:rsid w:val="008A1A49"/>
    <w:rsid w:val="00A403AA"/>
    <w:rsid w:val="00AB2EAC"/>
    <w:rsid w:val="00C85857"/>
    <w:rsid w:val="00CC03D7"/>
    <w:rsid w:val="00CC5412"/>
    <w:rsid w:val="00CC6F3D"/>
    <w:rsid w:val="00DB2A39"/>
    <w:rsid w:val="00E02EFD"/>
    <w:rsid w:val="00E25977"/>
    <w:rsid w:val="00ED6743"/>
    <w:rsid w:val="00F255F5"/>
    <w:rsid w:val="00F56A97"/>
    <w:rsid w:val="00F6631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E6A03-C755-4104-B33E-6729B37D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1F"/>
  </w:style>
  <w:style w:type="paragraph" w:styleId="Footer">
    <w:name w:val="footer"/>
    <w:basedOn w:val="Normal"/>
    <w:link w:val="Foot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1F"/>
  </w:style>
  <w:style w:type="paragraph" w:customStyle="1" w:styleId="TableParagraph">
    <w:name w:val="Table Paragraph"/>
    <w:basedOn w:val="Normal"/>
    <w:uiPriority w:val="1"/>
    <w:qFormat/>
    <w:rsid w:val="007314DF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4AC2-307D-4093-88BE-3CBB5C6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Coleman</dc:creator>
  <cp:lastModifiedBy>Craig Brindley</cp:lastModifiedBy>
  <cp:revision>5</cp:revision>
  <cp:lastPrinted>2020-11-23T10:41:00Z</cp:lastPrinted>
  <dcterms:created xsi:type="dcterms:W3CDTF">2020-12-10T14:22:00Z</dcterms:created>
  <dcterms:modified xsi:type="dcterms:W3CDTF">2021-11-03T15:44:00Z</dcterms:modified>
</cp:coreProperties>
</file>