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332" w:rsidRPr="00CD67C9" w:rsidRDefault="005B748B" w:rsidP="00CD67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Kimbolton </w:t>
      </w:r>
      <w:r w:rsidR="006A4982">
        <w:rPr>
          <w:b/>
          <w:sz w:val="40"/>
          <w:szCs w:val="40"/>
        </w:rPr>
        <w:t>Results 2021 – 2022</w:t>
      </w:r>
    </w:p>
    <w:p w:rsidR="006D51A1" w:rsidRDefault="006A4982">
      <w:r>
        <w:t>Please note national percentages may change a percentage or two and we do not yet have the progress figures</w:t>
      </w:r>
    </w:p>
    <w:p w:rsidR="0012152E" w:rsidRDefault="0012152E">
      <w: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43"/>
        <w:gridCol w:w="1243"/>
        <w:gridCol w:w="1381"/>
        <w:gridCol w:w="1269"/>
        <w:gridCol w:w="1244"/>
        <w:gridCol w:w="1237"/>
        <w:gridCol w:w="1237"/>
        <w:gridCol w:w="1381"/>
        <w:gridCol w:w="1281"/>
        <w:gridCol w:w="1158"/>
      </w:tblGrid>
      <w:tr w:rsidR="0012152E" w:rsidTr="0012152E">
        <w:tc>
          <w:tcPr>
            <w:tcW w:w="1289" w:type="dxa"/>
          </w:tcPr>
          <w:p w:rsidR="0012152E" w:rsidRDefault="0012152E"/>
        </w:tc>
        <w:tc>
          <w:tcPr>
            <w:tcW w:w="1270" w:type="dxa"/>
          </w:tcPr>
          <w:p w:rsidR="0012152E" w:rsidRDefault="0012152E">
            <w:r>
              <w:t>Expected standard in reading</w:t>
            </w:r>
          </w:p>
        </w:tc>
        <w:tc>
          <w:tcPr>
            <w:tcW w:w="1270" w:type="dxa"/>
          </w:tcPr>
          <w:p w:rsidR="0012152E" w:rsidRDefault="0012152E">
            <w:r>
              <w:t>Expected standard in writing</w:t>
            </w:r>
          </w:p>
        </w:tc>
        <w:tc>
          <w:tcPr>
            <w:tcW w:w="1381" w:type="dxa"/>
          </w:tcPr>
          <w:p w:rsidR="0012152E" w:rsidRDefault="0012152E">
            <w:r>
              <w:t>Expected standard in mathematics</w:t>
            </w:r>
          </w:p>
        </w:tc>
        <w:tc>
          <w:tcPr>
            <w:tcW w:w="1287" w:type="dxa"/>
          </w:tcPr>
          <w:p w:rsidR="0012152E" w:rsidRDefault="0012152E">
            <w:r>
              <w:t>R, W and M</w:t>
            </w:r>
          </w:p>
          <w:p w:rsidR="0012152E" w:rsidRDefault="0012152E">
            <w:r>
              <w:t>Combined at expected standard</w:t>
            </w:r>
          </w:p>
        </w:tc>
        <w:tc>
          <w:tcPr>
            <w:tcW w:w="1271" w:type="dxa"/>
          </w:tcPr>
          <w:p w:rsidR="0012152E" w:rsidRDefault="0012152E">
            <w:r>
              <w:t>Expected standard in GAPS</w:t>
            </w:r>
          </w:p>
        </w:tc>
        <w:tc>
          <w:tcPr>
            <w:tcW w:w="1266" w:type="dxa"/>
          </w:tcPr>
          <w:p w:rsidR="0012152E" w:rsidRDefault="0012152E">
            <w:r>
              <w:t>Greater depth standard in reading</w:t>
            </w:r>
          </w:p>
        </w:tc>
        <w:tc>
          <w:tcPr>
            <w:tcW w:w="1266" w:type="dxa"/>
          </w:tcPr>
          <w:p w:rsidR="0012152E" w:rsidRDefault="0012152E">
            <w:r>
              <w:t>Greater depth standard in writing</w:t>
            </w:r>
          </w:p>
        </w:tc>
        <w:tc>
          <w:tcPr>
            <w:tcW w:w="1381" w:type="dxa"/>
          </w:tcPr>
          <w:p w:rsidR="0012152E" w:rsidRDefault="0012152E">
            <w:r>
              <w:t>Greater depth standard in mathematics</w:t>
            </w:r>
          </w:p>
        </w:tc>
        <w:tc>
          <w:tcPr>
            <w:tcW w:w="1316" w:type="dxa"/>
          </w:tcPr>
          <w:p w:rsidR="0012152E" w:rsidRDefault="0012152E">
            <w:r>
              <w:t>Greater depth standard in GAPS</w:t>
            </w:r>
          </w:p>
        </w:tc>
        <w:tc>
          <w:tcPr>
            <w:tcW w:w="1177" w:type="dxa"/>
          </w:tcPr>
          <w:p w:rsidR="0012152E" w:rsidRDefault="0012152E">
            <w:r>
              <w:t>Greater depth standard R, W and M</w:t>
            </w:r>
          </w:p>
        </w:tc>
      </w:tr>
      <w:tr w:rsidR="0012152E" w:rsidTr="0012152E">
        <w:tc>
          <w:tcPr>
            <w:tcW w:w="1289" w:type="dxa"/>
          </w:tcPr>
          <w:p w:rsidR="0012152E" w:rsidRDefault="0012152E">
            <w:r>
              <w:t>National Result</w:t>
            </w:r>
          </w:p>
        </w:tc>
        <w:tc>
          <w:tcPr>
            <w:tcW w:w="1270" w:type="dxa"/>
          </w:tcPr>
          <w:p w:rsidR="0012152E" w:rsidRDefault="006A4982">
            <w:r>
              <w:t>74</w:t>
            </w:r>
            <w:r w:rsidR="0012152E">
              <w:t>%</w:t>
            </w:r>
          </w:p>
          <w:p w:rsidR="006A4982" w:rsidRDefault="006A4982"/>
        </w:tc>
        <w:tc>
          <w:tcPr>
            <w:tcW w:w="1270" w:type="dxa"/>
          </w:tcPr>
          <w:p w:rsidR="0012152E" w:rsidRDefault="006A4982">
            <w:r>
              <w:t>69%</w:t>
            </w:r>
          </w:p>
        </w:tc>
        <w:tc>
          <w:tcPr>
            <w:tcW w:w="1381" w:type="dxa"/>
          </w:tcPr>
          <w:p w:rsidR="0012152E" w:rsidRDefault="006A4982">
            <w:r>
              <w:t>71</w:t>
            </w:r>
            <w:r w:rsidR="00AA7F98">
              <w:t>%</w:t>
            </w:r>
          </w:p>
        </w:tc>
        <w:tc>
          <w:tcPr>
            <w:tcW w:w="1287" w:type="dxa"/>
          </w:tcPr>
          <w:p w:rsidR="0012152E" w:rsidRDefault="006A4982">
            <w:r>
              <w:t>59</w:t>
            </w:r>
            <w:r w:rsidR="00AA7F98">
              <w:t>%</w:t>
            </w:r>
          </w:p>
        </w:tc>
        <w:tc>
          <w:tcPr>
            <w:tcW w:w="1271" w:type="dxa"/>
          </w:tcPr>
          <w:p w:rsidR="0012152E" w:rsidRDefault="006A4982">
            <w:r>
              <w:t>72</w:t>
            </w:r>
            <w:r w:rsidR="00AA7F98">
              <w:t>%</w:t>
            </w:r>
          </w:p>
        </w:tc>
        <w:tc>
          <w:tcPr>
            <w:tcW w:w="1266" w:type="dxa"/>
          </w:tcPr>
          <w:p w:rsidR="006A4982" w:rsidRDefault="00DE1484">
            <w:r>
              <w:t>25%</w:t>
            </w:r>
            <w:r w:rsidR="006A4982">
              <w:t xml:space="preserve"> </w:t>
            </w:r>
          </w:p>
          <w:p w:rsidR="0012152E" w:rsidRDefault="006A4982">
            <w:r>
              <w:t>18 -19result</w:t>
            </w:r>
          </w:p>
        </w:tc>
        <w:tc>
          <w:tcPr>
            <w:tcW w:w="1266" w:type="dxa"/>
          </w:tcPr>
          <w:p w:rsidR="0012152E" w:rsidRDefault="006A4982">
            <w:r>
              <w:t xml:space="preserve">25% </w:t>
            </w:r>
          </w:p>
          <w:p w:rsidR="006A4982" w:rsidRDefault="006A4982">
            <w:r>
              <w:t>18 -19result</w:t>
            </w:r>
          </w:p>
        </w:tc>
        <w:tc>
          <w:tcPr>
            <w:tcW w:w="1381" w:type="dxa"/>
          </w:tcPr>
          <w:p w:rsidR="0012152E" w:rsidRDefault="00F02E93">
            <w:r>
              <w:t>23%</w:t>
            </w:r>
          </w:p>
          <w:p w:rsidR="006A4982" w:rsidRDefault="006A4982">
            <w:r>
              <w:t>18 -19result</w:t>
            </w:r>
          </w:p>
        </w:tc>
        <w:tc>
          <w:tcPr>
            <w:tcW w:w="1316" w:type="dxa"/>
          </w:tcPr>
          <w:p w:rsidR="0012152E" w:rsidRDefault="00F02E93">
            <w:r>
              <w:t>31%</w:t>
            </w:r>
          </w:p>
          <w:p w:rsidR="006A4982" w:rsidRDefault="006A4982">
            <w:r>
              <w:t>18 -19result</w:t>
            </w:r>
          </w:p>
        </w:tc>
        <w:tc>
          <w:tcPr>
            <w:tcW w:w="1177" w:type="dxa"/>
          </w:tcPr>
          <w:p w:rsidR="0012152E" w:rsidRDefault="00DE1484">
            <w:r>
              <w:t>9%</w:t>
            </w:r>
          </w:p>
          <w:p w:rsidR="006A4982" w:rsidRDefault="006A4982">
            <w:r>
              <w:t>18 -19result</w:t>
            </w:r>
          </w:p>
        </w:tc>
      </w:tr>
      <w:tr w:rsidR="0012152E" w:rsidTr="0012152E">
        <w:tc>
          <w:tcPr>
            <w:tcW w:w="1289" w:type="dxa"/>
          </w:tcPr>
          <w:p w:rsidR="0012152E" w:rsidRDefault="00413F38">
            <w:r>
              <w:t>Kimbolton</w:t>
            </w:r>
            <w:r w:rsidR="0012152E">
              <w:t xml:space="preserve"> Result</w:t>
            </w:r>
          </w:p>
        </w:tc>
        <w:tc>
          <w:tcPr>
            <w:tcW w:w="1270" w:type="dxa"/>
          </w:tcPr>
          <w:p w:rsidR="0012152E" w:rsidRDefault="00413F38">
            <w:r>
              <w:t>100%</w:t>
            </w:r>
          </w:p>
        </w:tc>
        <w:tc>
          <w:tcPr>
            <w:tcW w:w="1270" w:type="dxa"/>
          </w:tcPr>
          <w:p w:rsidR="0012152E" w:rsidRDefault="006A4982">
            <w:r>
              <w:t>87</w:t>
            </w:r>
            <w:r w:rsidR="007B359C">
              <w:t>%</w:t>
            </w:r>
          </w:p>
        </w:tc>
        <w:tc>
          <w:tcPr>
            <w:tcW w:w="1381" w:type="dxa"/>
          </w:tcPr>
          <w:p w:rsidR="0012152E" w:rsidRDefault="00413F38">
            <w:r>
              <w:t>100</w:t>
            </w:r>
            <w:r w:rsidR="00AA7F98">
              <w:t>%</w:t>
            </w:r>
          </w:p>
        </w:tc>
        <w:tc>
          <w:tcPr>
            <w:tcW w:w="1287" w:type="dxa"/>
          </w:tcPr>
          <w:p w:rsidR="00AA7F98" w:rsidRDefault="006A4982">
            <w:r>
              <w:t>87</w:t>
            </w:r>
            <w:r w:rsidR="00AA7F98">
              <w:t>%</w:t>
            </w:r>
          </w:p>
        </w:tc>
        <w:tc>
          <w:tcPr>
            <w:tcW w:w="1271" w:type="dxa"/>
          </w:tcPr>
          <w:p w:rsidR="0012152E" w:rsidRDefault="006A4982">
            <w:r>
              <w:t>10</w:t>
            </w:r>
            <w:r w:rsidR="00AA7F98">
              <w:t>0%</w:t>
            </w:r>
          </w:p>
        </w:tc>
        <w:tc>
          <w:tcPr>
            <w:tcW w:w="1266" w:type="dxa"/>
          </w:tcPr>
          <w:p w:rsidR="0012152E" w:rsidRDefault="006A4982">
            <w:r>
              <w:t>63</w:t>
            </w:r>
            <w:r w:rsidR="00DE1484">
              <w:t>%</w:t>
            </w:r>
          </w:p>
          <w:p w:rsidR="00DE1484" w:rsidRDefault="00DE1484"/>
        </w:tc>
        <w:tc>
          <w:tcPr>
            <w:tcW w:w="1266" w:type="dxa"/>
          </w:tcPr>
          <w:p w:rsidR="0012152E" w:rsidRDefault="006A4982">
            <w:r>
              <w:t>13</w:t>
            </w:r>
            <w:r w:rsidR="00DE1484">
              <w:t>%</w:t>
            </w:r>
          </w:p>
        </w:tc>
        <w:tc>
          <w:tcPr>
            <w:tcW w:w="1381" w:type="dxa"/>
          </w:tcPr>
          <w:p w:rsidR="0012152E" w:rsidRDefault="006A4982">
            <w:r>
              <w:t>38</w:t>
            </w:r>
            <w:r w:rsidR="00F02E93">
              <w:t>%</w:t>
            </w:r>
          </w:p>
        </w:tc>
        <w:tc>
          <w:tcPr>
            <w:tcW w:w="1316" w:type="dxa"/>
          </w:tcPr>
          <w:p w:rsidR="0012152E" w:rsidRDefault="006A4982">
            <w:r>
              <w:t>25</w:t>
            </w:r>
            <w:r w:rsidR="00F02E93">
              <w:t>%</w:t>
            </w:r>
          </w:p>
        </w:tc>
        <w:tc>
          <w:tcPr>
            <w:tcW w:w="1177" w:type="dxa"/>
          </w:tcPr>
          <w:p w:rsidR="0012152E" w:rsidRDefault="006A4982">
            <w:r>
              <w:t>13</w:t>
            </w:r>
            <w:r w:rsidR="00DE1484">
              <w:t>%</w:t>
            </w:r>
          </w:p>
        </w:tc>
      </w:tr>
      <w:tr w:rsidR="0012152E" w:rsidTr="0012152E">
        <w:tc>
          <w:tcPr>
            <w:tcW w:w="1289" w:type="dxa"/>
          </w:tcPr>
          <w:p w:rsidR="0012152E" w:rsidRDefault="0012152E">
            <w:r>
              <w:t>Difference</w:t>
            </w:r>
          </w:p>
        </w:tc>
        <w:tc>
          <w:tcPr>
            <w:tcW w:w="1270" w:type="dxa"/>
          </w:tcPr>
          <w:p w:rsidR="0012152E" w:rsidRDefault="006A4982">
            <w:r>
              <w:t>Plus 1 child</w:t>
            </w:r>
          </w:p>
        </w:tc>
        <w:tc>
          <w:tcPr>
            <w:tcW w:w="1270" w:type="dxa"/>
          </w:tcPr>
          <w:p w:rsidR="0012152E" w:rsidRDefault="006A4982" w:rsidP="006A4982">
            <w:r>
              <w:t>Plus 1 child</w:t>
            </w:r>
          </w:p>
        </w:tc>
        <w:tc>
          <w:tcPr>
            <w:tcW w:w="1381" w:type="dxa"/>
          </w:tcPr>
          <w:p w:rsidR="0012152E" w:rsidRDefault="006A4982">
            <w:r>
              <w:t>Plus 2 children</w:t>
            </w:r>
          </w:p>
        </w:tc>
        <w:tc>
          <w:tcPr>
            <w:tcW w:w="1287" w:type="dxa"/>
          </w:tcPr>
          <w:p w:rsidR="0012152E" w:rsidRDefault="006A4982">
            <w:r>
              <w:t>Plus 2 child</w:t>
            </w:r>
          </w:p>
          <w:p w:rsidR="00AA7F98" w:rsidRDefault="00AA7F98"/>
        </w:tc>
        <w:tc>
          <w:tcPr>
            <w:tcW w:w="1271" w:type="dxa"/>
          </w:tcPr>
          <w:p w:rsidR="0012152E" w:rsidRDefault="00413F38">
            <w:r>
              <w:t>12% or 1</w:t>
            </w:r>
            <w:r w:rsidR="00AA7F98">
              <w:t xml:space="preserve"> children</w:t>
            </w:r>
          </w:p>
        </w:tc>
        <w:tc>
          <w:tcPr>
            <w:tcW w:w="1266" w:type="dxa"/>
          </w:tcPr>
          <w:p w:rsidR="0012152E" w:rsidRDefault="006A4982" w:rsidP="006A4982">
            <w:r>
              <w:t>Plus 2 – 3 children</w:t>
            </w:r>
            <w:r w:rsidR="00413F38">
              <w:t xml:space="preserve"> </w:t>
            </w:r>
          </w:p>
        </w:tc>
        <w:tc>
          <w:tcPr>
            <w:tcW w:w="1266" w:type="dxa"/>
          </w:tcPr>
          <w:p w:rsidR="0012152E" w:rsidRDefault="006A4982">
            <w:r>
              <w:t>Likely to be close to national this year</w:t>
            </w:r>
          </w:p>
        </w:tc>
        <w:tc>
          <w:tcPr>
            <w:tcW w:w="1381" w:type="dxa"/>
          </w:tcPr>
          <w:p w:rsidR="0012152E" w:rsidRDefault="006A4982">
            <w:r>
              <w:t>Plus 1</w:t>
            </w:r>
            <w:r w:rsidR="00F02E93">
              <w:t xml:space="preserve"> children</w:t>
            </w:r>
          </w:p>
        </w:tc>
        <w:tc>
          <w:tcPr>
            <w:tcW w:w="1316" w:type="dxa"/>
          </w:tcPr>
          <w:p w:rsidR="0012152E" w:rsidRPr="006A4982" w:rsidRDefault="006A4982" w:rsidP="006A4982">
            <w:r>
              <w:t>Likely to be at national this year</w:t>
            </w:r>
          </w:p>
        </w:tc>
        <w:tc>
          <w:tcPr>
            <w:tcW w:w="1177" w:type="dxa"/>
          </w:tcPr>
          <w:p w:rsidR="0012152E" w:rsidRDefault="006A4982">
            <w:r>
              <w:t xml:space="preserve">At national </w:t>
            </w:r>
          </w:p>
        </w:tc>
      </w:tr>
    </w:tbl>
    <w:p w:rsidR="0012152E" w:rsidRDefault="0012152E"/>
    <w:p w:rsidR="00F02E93" w:rsidRDefault="006D51A1">
      <w:r>
        <w:t>As you can this is a strong set of results with no weaknesses in outcomes</w:t>
      </w:r>
      <w:r w:rsidR="006A4982">
        <w:t>, although this may chance as the greater depth results are released. We are having a focus on writing across the school from next year using the Talk 4 Writing approach.</w:t>
      </w:r>
    </w:p>
    <w:p w:rsidR="006D51A1" w:rsidRDefault="00F62FBE">
      <w:r>
        <w:t>SEN and pupil premium children all performed in line with expectations.</w:t>
      </w:r>
    </w:p>
    <w:p w:rsidR="00DC0AC0" w:rsidRDefault="00DC0AC0">
      <w:pPr>
        <w:rPr>
          <w:b/>
        </w:rPr>
      </w:pPr>
      <w:r w:rsidRPr="00DC0AC0">
        <w:rPr>
          <w:b/>
        </w:rPr>
        <w:t>KS1</w:t>
      </w:r>
    </w:p>
    <w:tbl>
      <w:tblPr>
        <w:tblStyle w:val="TableGrid"/>
        <w:tblW w:w="11726" w:type="dxa"/>
        <w:tblLook w:val="04A0" w:firstRow="1" w:lastRow="0" w:firstColumn="1" w:lastColumn="0" w:noHBand="0" w:noVBand="1"/>
      </w:tblPr>
      <w:tblGrid>
        <w:gridCol w:w="1289"/>
        <w:gridCol w:w="1270"/>
        <w:gridCol w:w="1270"/>
        <w:gridCol w:w="1381"/>
        <w:gridCol w:w="1287"/>
        <w:gridCol w:w="1266"/>
        <w:gridCol w:w="1266"/>
        <w:gridCol w:w="1381"/>
        <w:gridCol w:w="1316"/>
      </w:tblGrid>
      <w:tr w:rsidR="00DC0AC0" w:rsidTr="00DC0AC0">
        <w:tc>
          <w:tcPr>
            <w:tcW w:w="1289" w:type="dxa"/>
          </w:tcPr>
          <w:p w:rsidR="00DC0AC0" w:rsidRDefault="00DC0AC0" w:rsidP="009F2EC2"/>
        </w:tc>
        <w:tc>
          <w:tcPr>
            <w:tcW w:w="1270" w:type="dxa"/>
          </w:tcPr>
          <w:p w:rsidR="00DC0AC0" w:rsidRDefault="00DC0AC0" w:rsidP="009F2EC2">
            <w:r>
              <w:t>Expected standard in reading</w:t>
            </w:r>
          </w:p>
        </w:tc>
        <w:tc>
          <w:tcPr>
            <w:tcW w:w="1270" w:type="dxa"/>
          </w:tcPr>
          <w:p w:rsidR="00DC0AC0" w:rsidRDefault="00DC0AC0" w:rsidP="009F2EC2">
            <w:r>
              <w:t>Expected standard in writing</w:t>
            </w:r>
          </w:p>
        </w:tc>
        <w:tc>
          <w:tcPr>
            <w:tcW w:w="1381" w:type="dxa"/>
          </w:tcPr>
          <w:p w:rsidR="00DC0AC0" w:rsidRDefault="00DC0AC0" w:rsidP="009F2EC2">
            <w:r>
              <w:t>Expected standard in mathematics</w:t>
            </w:r>
          </w:p>
        </w:tc>
        <w:tc>
          <w:tcPr>
            <w:tcW w:w="1287" w:type="dxa"/>
          </w:tcPr>
          <w:p w:rsidR="00DC0AC0" w:rsidRDefault="00DC0AC0" w:rsidP="009F2EC2">
            <w:r>
              <w:t>R, W and M</w:t>
            </w:r>
          </w:p>
          <w:p w:rsidR="00DC0AC0" w:rsidRDefault="00DC0AC0" w:rsidP="009F2EC2">
            <w:r>
              <w:lastRenderedPageBreak/>
              <w:t>Combined at expected standard</w:t>
            </w:r>
          </w:p>
        </w:tc>
        <w:tc>
          <w:tcPr>
            <w:tcW w:w="1266" w:type="dxa"/>
          </w:tcPr>
          <w:p w:rsidR="00DC0AC0" w:rsidRDefault="00DC0AC0" w:rsidP="009F2EC2">
            <w:r>
              <w:lastRenderedPageBreak/>
              <w:t xml:space="preserve">Greater depth </w:t>
            </w:r>
            <w:r>
              <w:lastRenderedPageBreak/>
              <w:t>standard in reading</w:t>
            </w:r>
          </w:p>
        </w:tc>
        <w:tc>
          <w:tcPr>
            <w:tcW w:w="1266" w:type="dxa"/>
          </w:tcPr>
          <w:p w:rsidR="00DC0AC0" w:rsidRDefault="00DC0AC0" w:rsidP="009F2EC2">
            <w:r>
              <w:lastRenderedPageBreak/>
              <w:t xml:space="preserve">Greater depth </w:t>
            </w:r>
            <w:r>
              <w:lastRenderedPageBreak/>
              <w:t>standard in writing</w:t>
            </w:r>
          </w:p>
        </w:tc>
        <w:tc>
          <w:tcPr>
            <w:tcW w:w="1381" w:type="dxa"/>
          </w:tcPr>
          <w:p w:rsidR="00DC0AC0" w:rsidRDefault="00DC0AC0" w:rsidP="009F2EC2">
            <w:r>
              <w:lastRenderedPageBreak/>
              <w:t xml:space="preserve">Greater depth </w:t>
            </w:r>
            <w:r>
              <w:lastRenderedPageBreak/>
              <w:t>standard in mathematics</w:t>
            </w:r>
          </w:p>
        </w:tc>
        <w:tc>
          <w:tcPr>
            <w:tcW w:w="1316" w:type="dxa"/>
          </w:tcPr>
          <w:p w:rsidR="00DC0AC0" w:rsidRDefault="00DC0AC0" w:rsidP="009F2EC2">
            <w:r>
              <w:lastRenderedPageBreak/>
              <w:t xml:space="preserve">Greater depth </w:t>
            </w:r>
            <w:r>
              <w:lastRenderedPageBreak/>
              <w:t>standard R, W and M</w:t>
            </w:r>
          </w:p>
        </w:tc>
      </w:tr>
      <w:tr w:rsidR="00DC0AC0" w:rsidTr="00DC0AC0">
        <w:tc>
          <w:tcPr>
            <w:tcW w:w="1289" w:type="dxa"/>
          </w:tcPr>
          <w:p w:rsidR="00DC0AC0" w:rsidRDefault="00333CFB" w:rsidP="009F2EC2">
            <w:r>
              <w:lastRenderedPageBreak/>
              <w:t xml:space="preserve">National Result </w:t>
            </w:r>
          </w:p>
        </w:tc>
        <w:tc>
          <w:tcPr>
            <w:tcW w:w="1270" w:type="dxa"/>
          </w:tcPr>
          <w:p w:rsidR="00DC0AC0" w:rsidRDefault="00333CFB" w:rsidP="009F2EC2">
            <w:r>
              <w:t>68</w:t>
            </w:r>
            <w:r w:rsidR="00DC0AC0">
              <w:t>%</w:t>
            </w:r>
          </w:p>
        </w:tc>
        <w:tc>
          <w:tcPr>
            <w:tcW w:w="1270" w:type="dxa"/>
          </w:tcPr>
          <w:p w:rsidR="00DC0AC0" w:rsidRDefault="00333CFB" w:rsidP="009F2EC2">
            <w:r>
              <w:t>59</w:t>
            </w:r>
            <w:r w:rsidR="00DC0AC0">
              <w:t>%</w:t>
            </w:r>
          </w:p>
        </w:tc>
        <w:tc>
          <w:tcPr>
            <w:tcW w:w="1381" w:type="dxa"/>
          </w:tcPr>
          <w:p w:rsidR="00DC0AC0" w:rsidRDefault="00333CFB" w:rsidP="009F2EC2">
            <w:r>
              <w:t>70</w:t>
            </w:r>
            <w:r w:rsidR="00DC0AC0">
              <w:t>%</w:t>
            </w:r>
          </w:p>
        </w:tc>
        <w:tc>
          <w:tcPr>
            <w:tcW w:w="1287" w:type="dxa"/>
          </w:tcPr>
          <w:p w:rsidR="00DC0AC0" w:rsidRDefault="00DC0AC0" w:rsidP="009F2EC2">
            <w:r>
              <w:t>-%</w:t>
            </w:r>
          </w:p>
        </w:tc>
        <w:tc>
          <w:tcPr>
            <w:tcW w:w="1266" w:type="dxa"/>
          </w:tcPr>
          <w:p w:rsidR="00DC0AC0" w:rsidRDefault="002432B7" w:rsidP="009F2EC2">
            <w:r>
              <w:t>25</w:t>
            </w:r>
            <w:r w:rsidR="00DC0AC0">
              <w:t>%</w:t>
            </w:r>
            <w:r w:rsidR="00333CFB">
              <w:t xml:space="preserve"> 18 – 19 results</w:t>
            </w:r>
          </w:p>
        </w:tc>
        <w:tc>
          <w:tcPr>
            <w:tcW w:w="1266" w:type="dxa"/>
          </w:tcPr>
          <w:p w:rsidR="00DC0AC0" w:rsidRDefault="002432B7" w:rsidP="009F2EC2">
            <w:r>
              <w:t>15</w:t>
            </w:r>
            <w:r w:rsidR="00DC0AC0">
              <w:t xml:space="preserve">% </w:t>
            </w:r>
            <w:r w:rsidR="00333CFB">
              <w:t>18 – 19 results</w:t>
            </w:r>
          </w:p>
        </w:tc>
        <w:tc>
          <w:tcPr>
            <w:tcW w:w="1381" w:type="dxa"/>
          </w:tcPr>
          <w:p w:rsidR="00DC0AC0" w:rsidRDefault="00DC0AC0" w:rsidP="009F2EC2">
            <w:r>
              <w:t>22%</w:t>
            </w:r>
          </w:p>
          <w:p w:rsidR="00333CFB" w:rsidRDefault="00333CFB" w:rsidP="009F2EC2">
            <w:r>
              <w:t>18 – 19 results</w:t>
            </w:r>
          </w:p>
        </w:tc>
        <w:tc>
          <w:tcPr>
            <w:tcW w:w="1316" w:type="dxa"/>
          </w:tcPr>
          <w:p w:rsidR="00DC0AC0" w:rsidRDefault="00DC0AC0" w:rsidP="009F2EC2">
            <w:r>
              <w:t>-%</w:t>
            </w:r>
          </w:p>
        </w:tc>
      </w:tr>
      <w:tr w:rsidR="00DC0AC0" w:rsidTr="00DC0AC0">
        <w:tc>
          <w:tcPr>
            <w:tcW w:w="1289" w:type="dxa"/>
          </w:tcPr>
          <w:p w:rsidR="00DC0AC0" w:rsidRDefault="00413F38" w:rsidP="009F2EC2">
            <w:r>
              <w:t xml:space="preserve">Kimbolton </w:t>
            </w:r>
            <w:r w:rsidR="00DC0AC0">
              <w:t>Result</w:t>
            </w:r>
          </w:p>
        </w:tc>
        <w:tc>
          <w:tcPr>
            <w:tcW w:w="1270" w:type="dxa"/>
          </w:tcPr>
          <w:p w:rsidR="00DC0AC0" w:rsidRDefault="00333CFB" w:rsidP="009F2EC2">
            <w:r>
              <w:t>89</w:t>
            </w:r>
            <w:r w:rsidR="002432B7">
              <w:t>%</w:t>
            </w:r>
          </w:p>
        </w:tc>
        <w:tc>
          <w:tcPr>
            <w:tcW w:w="1270" w:type="dxa"/>
          </w:tcPr>
          <w:p w:rsidR="00DC0AC0" w:rsidRDefault="00333CFB" w:rsidP="009F2EC2">
            <w:r>
              <w:t>89</w:t>
            </w:r>
            <w:r w:rsidR="002432B7">
              <w:t>%</w:t>
            </w:r>
          </w:p>
        </w:tc>
        <w:tc>
          <w:tcPr>
            <w:tcW w:w="1381" w:type="dxa"/>
          </w:tcPr>
          <w:p w:rsidR="00DC0AC0" w:rsidRDefault="00333CFB" w:rsidP="009F2EC2">
            <w:r>
              <w:t>78</w:t>
            </w:r>
            <w:r w:rsidR="002432B7">
              <w:t>%</w:t>
            </w:r>
          </w:p>
        </w:tc>
        <w:tc>
          <w:tcPr>
            <w:tcW w:w="1287" w:type="dxa"/>
          </w:tcPr>
          <w:p w:rsidR="00DC0AC0" w:rsidRDefault="00333CFB" w:rsidP="009F2EC2">
            <w:r>
              <w:t>66</w:t>
            </w:r>
            <w:r w:rsidR="002432B7">
              <w:t>%</w:t>
            </w:r>
          </w:p>
        </w:tc>
        <w:tc>
          <w:tcPr>
            <w:tcW w:w="1266" w:type="dxa"/>
          </w:tcPr>
          <w:p w:rsidR="00DC0AC0" w:rsidRDefault="00333CFB" w:rsidP="009F2EC2">
            <w:r>
              <w:t>22</w:t>
            </w:r>
            <w:r w:rsidR="002432B7">
              <w:t>%</w:t>
            </w:r>
          </w:p>
        </w:tc>
        <w:tc>
          <w:tcPr>
            <w:tcW w:w="1266" w:type="dxa"/>
          </w:tcPr>
          <w:p w:rsidR="00DC0AC0" w:rsidRDefault="00333CFB" w:rsidP="009F2EC2">
            <w:r>
              <w:t>22</w:t>
            </w:r>
            <w:r w:rsidR="002432B7">
              <w:t>%</w:t>
            </w:r>
          </w:p>
        </w:tc>
        <w:tc>
          <w:tcPr>
            <w:tcW w:w="1381" w:type="dxa"/>
          </w:tcPr>
          <w:p w:rsidR="00DC0AC0" w:rsidRDefault="00333CFB" w:rsidP="009F2EC2">
            <w:r>
              <w:t>22</w:t>
            </w:r>
            <w:r w:rsidR="002432B7">
              <w:t>%</w:t>
            </w:r>
          </w:p>
        </w:tc>
        <w:tc>
          <w:tcPr>
            <w:tcW w:w="1316" w:type="dxa"/>
          </w:tcPr>
          <w:p w:rsidR="00DC0AC0" w:rsidRDefault="00333CFB" w:rsidP="009F2EC2">
            <w:r>
              <w:t>22</w:t>
            </w:r>
            <w:r w:rsidR="002432B7">
              <w:t>%</w:t>
            </w:r>
          </w:p>
        </w:tc>
      </w:tr>
      <w:tr w:rsidR="00DC0AC0" w:rsidTr="00DC0AC0">
        <w:tc>
          <w:tcPr>
            <w:tcW w:w="1289" w:type="dxa"/>
          </w:tcPr>
          <w:p w:rsidR="00DC0AC0" w:rsidRDefault="00DC0AC0" w:rsidP="009F2EC2">
            <w:r>
              <w:t>Difference</w:t>
            </w:r>
          </w:p>
          <w:p w:rsidR="00333CFB" w:rsidRDefault="00333CFB" w:rsidP="009F2EC2">
            <w:r>
              <w:t>11 percent per child</w:t>
            </w:r>
          </w:p>
        </w:tc>
        <w:tc>
          <w:tcPr>
            <w:tcW w:w="1270" w:type="dxa"/>
          </w:tcPr>
          <w:p w:rsidR="00DC0AC0" w:rsidRDefault="00DC0AC0" w:rsidP="009F2EC2">
            <w:r>
              <w:t xml:space="preserve"> </w:t>
            </w:r>
            <w:r w:rsidR="00333CFB">
              <w:t xml:space="preserve">1 </w:t>
            </w:r>
            <w:r>
              <w:t>child above</w:t>
            </w:r>
          </w:p>
        </w:tc>
        <w:tc>
          <w:tcPr>
            <w:tcW w:w="1270" w:type="dxa"/>
          </w:tcPr>
          <w:p w:rsidR="00DC0AC0" w:rsidRDefault="00CD67C9" w:rsidP="009F2EC2">
            <w:r>
              <w:t xml:space="preserve"> </w:t>
            </w:r>
            <w:r w:rsidR="00333CFB">
              <w:t xml:space="preserve">2 </w:t>
            </w:r>
            <w:r>
              <w:t>children above</w:t>
            </w:r>
          </w:p>
        </w:tc>
        <w:tc>
          <w:tcPr>
            <w:tcW w:w="1381" w:type="dxa"/>
          </w:tcPr>
          <w:p w:rsidR="00DC0AC0" w:rsidRDefault="00CD67C9" w:rsidP="009F2EC2">
            <w:r>
              <w:t>In line with national</w:t>
            </w:r>
          </w:p>
        </w:tc>
        <w:tc>
          <w:tcPr>
            <w:tcW w:w="1287" w:type="dxa"/>
          </w:tcPr>
          <w:p w:rsidR="00DC0AC0" w:rsidRDefault="00CD67C9" w:rsidP="009F2EC2">
            <w:r>
              <w:t>No data available</w:t>
            </w:r>
          </w:p>
        </w:tc>
        <w:tc>
          <w:tcPr>
            <w:tcW w:w="1266" w:type="dxa"/>
          </w:tcPr>
          <w:p w:rsidR="00DC0AC0" w:rsidRDefault="00CD67C9" w:rsidP="009F2EC2">
            <w:r>
              <w:t>In line with national</w:t>
            </w:r>
          </w:p>
        </w:tc>
        <w:tc>
          <w:tcPr>
            <w:tcW w:w="1266" w:type="dxa"/>
          </w:tcPr>
          <w:p w:rsidR="00DC0AC0" w:rsidRDefault="00CD67C9" w:rsidP="009F2EC2">
            <w:r>
              <w:t>In line with national</w:t>
            </w:r>
          </w:p>
        </w:tc>
        <w:tc>
          <w:tcPr>
            <w:tcW w:w="1381" w:type="dxa"/>
          </w:tcPr>
          <w:p w:rsidR="00DC0AC0" w:rsidRDefault="00CD67C9" w:rsidP="009F2EC2">
            <w:r>
              <w:t>1 child above national</w:t>
            </w:r>
          </w:p>
        </w:tc>
        <w:tc>
          <w:tcPr>
            <w:tcW w:w="1316" w:type="dxa"/>
          </w:tcPr>
          <w:p w:rsidR="00DC0AC0" w:rsidRDefault="00CD67C9" w:rsidP="009F2EC2">
            <w:r>
              <w:t>No data available</w:t>
            </w:r>
          </w:p>
        </w:tc>
      </w:tr>
    </w:tbl>
    <w:p w:rsidR="00DC0AC0" w:rsidRPr="00DC0AC0" w:rsidRDefault="00DC0AC0">
      <w:pPr>
        <w:rPr>
          <w:b/>
        </w:rPr>
      </w:pPr>
    </w:p>
    <w:p w:rsidR="00F62FBE" w:rsidRDefault="00F62FBE">
      <w:pPr>
        <w:rPr>
          <w:b/>
        </w:rPr>
      </w:pPr>
      <w:r>
        <w:rPr>
          <w:b/>
        </w:rPr>
        <w:t>Phonic</w:t>
      </w:r>
    </w:p>
    <w:p w:rsidR="00333CFB" w:rsidRDefault="00333CFB">
      <w:r>
        <w:t>62</w:t>
      </w:r>
      <w:r w:rsidR="00F62FBE" w:rsidRPr="00F62FBE">
        <w:t>% percent of pupils passed the ph</w:t>
      </w:r>
      <w:r>
        <w:t>onics test which will be below the national average and well below the last average 3 years ago. We are introducing a new phonics program in the coming year. One child failed the retest.</w:t>
      </w:r>
    </w:p>
    <w:p w:rsidR="00333CFB" w:rsidRPr="00333CFB" w:rsidRDefault="00333CFB">
      <w:r>
        <w:t>EYFS</w:t>
      </w:r>
      <w:r>
        <w:br/>
        <w:t>60% of children reached the expected standard at the end of EYFS</w:t>
      </w:r>
      <w:bookmarkStart w:id="0" w:name="_GoBack"/>
      <w:bookmarkEnd w:id="0"/>
    </w:p>
    <w:p w:rsidR="00F62FBE" w:rsidRDefault="00F62FBE"/>
    <w:sectPr w:rsidR="00F62FBE" w:rsidSect="00121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2E"/>
    <w:rsid w:val="0012152E"/>
    <w:rsid w:val="002432B7"/>
    <w:rsid w:val="00333CFB"/>
    <w:rsid w:val="00413F38"/>
    <w:rsid w:val="005B748B"/>
    <w:rsid w:val="006A4982"/>
    <w:rsid w:val="006D51A1"/>
    <w:rsid w:val="007B359C"/>
    <w:rsid w:val="00AA7F98"/>
    <w:rsid w:val="00CD67C9"/>
    <w:rsid w:val="00D068CE"/>
    <w:rsid w:val="00DC0AC0"/>
    <w:rsid w:val="00DE1484"/>
    <w:rsid w:val="00E30332"/>
    <w:rsid w:val="00F02E93"/>
    <w:rsid w:val="00F6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4945"/>
  <w15:docId w15:val="{54F83DB9-9699-408A-B29B-1074C89F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Adam Breakwell</cp:lastModifiedBy>
  <cp:revision>2</cp:revision>
  <cp:lastPrinted>2019-07-17T09:28:00Z</cp:lastPrinted>
  <dcterms:created xsi:type="dcterms:W3CDTF">2022-07-07T14:02:00Z</dcterms:created>
  <dcterms:modified xsi:type="dcterms:W3CDTF">2022-07-07T14:02:00Z</dcterms:modified>
</cp:coreProperties>
</file>